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2326"/>
        <w:gridCol w:w="2015"/>
        <w:gridCol w:w="2122"/>
        <w:gridCol w:w="2377"/>
      </w:tblGrid>
      <w:tr w:rsidR="0078451E" w:rsidRPr="00F22839" w14:paraId="3CADFB6E" w14:textId="77777777" w:rsidTr="00562010">
        <w:tc>
          <w:tcPr>
            <w:tcW w:w="884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297D23" w14:textId="77777777" w:rsidR="0078451E" w:rsidRDefault="0078451E" w:rsidP="00562010">
            <w:pPr>
              <w:jc w:val="center"/>
            </w:pPr>
            <w:r w:rsidRPr="00F22839">
              <w:rPr>
                <w:rFonts w:hint="cs"/>
                <w:rtl/>
              </w:rPr>
              <w:t>اسم بيت الخبرة</w:t>
            </w:r>
          </w:p>
          <w:p w14:paraId="4AB27E8E" w14:textId="77777777" w:rsidR="0078451E" w:rsidRPr="00F22839" w:rsidRDefault="0078451E" w:rsidP="00562010">
            <w:pPr>
              <w:bidi w:val="0"/>
              <w:jc w:val="center"/>
              <w:rPr>
                <w:rtl/>
              </w:rPr>
            </w:pPr>
            <w:r>
              <w:t>Name of Expertise house</w:t>
            </w:r>
          </w:p>
        </w:tc>
      </w:tr>
      <w:tr w:rsidR="0078451E" w:rsidRPr="00F22839" w14:paraId="3C0D08EF" w14:textId="77777777" w:rsidTr="00D67B59">
        <w:trPr>
          <w:trHeight w:val="3061"/>
        </w:trPr>
        <w:tc>
          <w:tcPr>
            <w:tcW w:w="884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938FBC" w14:textId="77777777" w:rsidR="0078451E" w:rsidRDefault="0078451E" w:rsidP="00562010">
            <w:pPr>
              <w:jc w:val="center"/>
              <w:rPr>
                <w:rtl/>
              </w:rPr>
            </w:pPr>
          </w:p>
          <w:p w14:paraId="2CFE2B44" w14:textId="77777777" w:rsidR="0078451E" w:rsidRDefault="0078451E" w:rsidP="00562010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إنوبايو للاستشارات</w:t>
            </w:r>
            <w:r>
              <w:rPr>
                <w:rFonts w:hint="cs"/>
                <w:rtl/>
              </w:rPr>
              <w:t xml:space="preserve"> </w:t>
            </w:r>
          </w:p>
          <w:p w14:paraId="2DCE8EDE" w14:textId="77777777" w:rsidR="0078451E" w:rsidRDefault="0078451E" w:rsidP="0056201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InnoBio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R&amp;D Consulting</w:t>
            </w:r>
          </w:p>
          <w:p w14:paraId="684BB935" w14:textId="26646B62" w:rsidR="0078451E" w:rsidRPr="005E220A" w:rsidRDefault="00562010" w:rsidP="00562010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70801F4" wp14:editId="6CAA13D3">
                  <wp:extent cx="2060497" cy="906517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noBio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137" cy="90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51E" w:rsidRPr="00F22839" w14:paraId="08EF41EE" w14:textId="77777777" w:rsidTr="00D67B59">
        <w:trPr>
          <w:trHeight w:val="1013"/>
        </w:trPr>
        <w:tc>
          <w:tcPr>
            <w:tcW w:w="232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B1C9B21" w14:textId="77777777" w:rsidR="0078451E" w:rsidRDefault="0078451E" w:rsidP="00562010">
            <w:pPr>
              <w:jc w:val="center"/>
            </w:pPr>
            <w:r w:rsidRPr="00F22839">
              <w:rPr>
                <w:rFonts w:hint="cs"/>
                <w:rtl/>
              </w:rPr>
              <w:t>المقر الدائم لبيت الخبرة</w:t>
            </w:r>
          </w:p>
          <w:p w14:paraId="737826D0" w14:textId="77777777" w:rsidR="0078451E" w:rsidRPr="00F22839" w:rsidRDefault="0078451E" w:rsidP="00562010">
            <w:pPr>
              <w:jc w:val="center"/>
              <w:rPr>
                <w:rtl/>
              </w:rPr>
            </w:pPr>
            <w:r>
              <w:t>The location of the Expertise house</w:t>
            </w:r>
          </w:p>
        </w:tc>
        <w:tc>
          <w:tcPr>
            <w:tcW w:w="6514" w:type="dxa"/>
            <w:gridSpan w:val="3"/>
            <w:tcBorders>
              <w:right w:val="double" w:sz="4" w:space="0" w:color="auto"/>
            </w:tcBorders>
          </w:tcPr>
          <w:p w14:paraId="6375F3FE" w14:textId="77777777" w:rsidR="0078451E" w:rsidRDefault="0078451E" w:rsidP="00562010">
            <w:pPr>
              <w:jc w:val="center"/>
              <w:rPr>
                <w:rtl/>
              </w:rPr>
            </w:pPr>
          </w:p>
          <w:p w14:paraId="3F1E4FFC" w14:textId="77777777" w:rsidR="0078451E" w:rsidRPr="00F22839" w:rsidRDefault="0078451E" w:rsidP="00562010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جامعة تبوك</w:t>
            </w:r>
            <w:r>
              <w:rPr>
                <w:rFonts w:hint="cs"/>
                <w:rtl/>
              </w:rPr>
              <w:t xml:space="preserve"> </w:t>
            </w:r>
            <w:r w:rsidRPr="00F22839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F22839">
              <w:rPr>
                <w:rFonts w:hint="cs"/>
                <w:rtl/>
              </w:rPr>
              <w:t>كلية الطبية التطبيقية</w:t>
            </w:r>
          </w:p>
        </w:tc>
      </w:tr>
      <w:tr w:rsidR="0078451E" w:rsidRPr="00F22839" w14:paraId="637F3542" w14:textId="77777777" w:rsidTr="00562010">
        <w:tc>
          <w:tcPr>
            <w:tcW w:w="232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DC0F098" w14:textId="77777777" w:rsidR="0078451E" w:rsidRDefault="0078451E" w:rsidP="00562010">
            <w:pPr>
              <w:jc w:val="center"/>
            </w:pPr>
            <w:r w:rsidRPr="00F22839">
              <w:rPr>
                <w:rFonts w:hint="cs"/>
                <w:rtl/>
              </w:rPr>
              <w:t>اسم رئيس بيت الخبرة</w:t>
            </w:r>
          </w:p>
          <w:p w14:paraId="4DDAECB5" w14:textId="77777777" w:rsidR="0078451E" w:rsidRPr="00F22839" w:rsidRDefault="0078451E" w:rsidP="00562010">
            <w:pPr>
              <w:jc w:val="center"/>
              <w:rPr>
                <w:rtl/>
              </w:rPr>
            </w:pPr>
            <w:r>
              <w:t>The owner of the expertise house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62B7AE66" w14:textId="77777777" w:rsidR="0078451E" w:rsidRDefault="0078451E" w:rsidP="00562010">
            <w:pPr>
              <w:jc w:val="center"/>
            </w:pPr>
            <w:r w:rsidRPr="00F22839">
              <w:rPr>
                <w:rFonts w:hint="cs"/>
                <w:rtl/>
              </w:rPr>
              <w:t>الدرجة الاكاديمية</w:t>
            </w:r>
          </w:p>
          <w:p w14:paraId="3BAA664E" w14:textId="77777777" w:rsidR="0078451E" w:rsidRPr="00F22839" w:rsidRDefault="0078451E" w:rsidP="00562010">
            <w:pPr>
              <w:jc w:val="center"/>
              <w:rPr>
                <w:rtl/>
              </w:rPr>
            </w:pPr>
            <w:r>
              <w:t>Academic Degree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1323A3B8" w14:textId="77777777" w:rsidR="0078451E" w:rsidRDefault="0078451E" w:rsidP="00562010">
            <w:pPr>
              <w:jc w:val="center"/>
            </w:pPr>
            <w:r w:rsidRPr="00F22839">
              <w:rPr>
                <w:rFonts w:hint="cs"/>
                <w:rtl/>
              </w:rPr>
              <w:t>اسم الكلية</w:t>
            </w:r>
          </w:p>
          <w:p w14:paraId="594C741A" w14:textId="77777777" w:rsidR="0078451E" w:rsidRPr="00F22839" w:rsidRDefault="0078451E" w:rsidP="00562010">
            <w:pPr>
              <w:jc w:val="center"/>
              <w:rPr>
                <w:rtl/>
              </w:rPr>
            </w:pPr>
            <w:r>
              <w:t>Faculty</w:t>
            </w:r>
          </w:p>
        </w:tc>
        <w:tc>
          <w:tcPr>
            <w:tcW w:w="237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50EF45E" w14:textId="77777777" w:rsidR="0078451E" w:rsidRDefault="0078451E" w:rsidP="00562010">
            <w:pPr>
              <w:jc w:val="center"/>
            </w:pPr>
            <w:r w:rsidRPr="00F22839">
              <w:rPr>
                <w:rFonts w:hint="cs"/>
                <w:rtl/>
              </w:rPr>
              <w:t>القسم/ التخصص</w:t>
            </w:r>
          </w:p>
          <w:p w14:paraId="09C19BB5" w14:textId="77777777" w:rsidR="0078451E" w:rsidRPr="00F22839" w:rsidRDefault="0078451E" w:rsidP="00562010">
            <w:pPr>
              <w:jc w:val="center"/>
              <w:rPr>
                <w:rtl/>
              </w:rPr>
            </w:pPr>
            <w:r>
              <w:t>Department/specialized</w:t>
            </w:r>
          </w:p>
        </w:tc>
      </w:tr>
      <w:tr w:rsidR="0078451E" w:rsidRPr="00F22839" w14:paraId="6BC81B9A" w14:textId="77777777" w:rsidTr="00562010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</w:tcPr>
          <w:p w14:paraId="222B2242" w14:textId="77777777" w:rsidR="0078451E" w:rsidRPr="00F22839" w:rsidRDefault="0078451E" w:rsidP="00562010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د. المهند</w:t>
            </w:r>
            <w:r w:rsidRPr="00F22839">
              <w:rPr>
                <w:rtl/>
              </w:rPr>
              <w:t xml:space="preserve"> </w:t>
            </w:r>
            <w:r w:rsidRPr="00F22839">
              <w:rPr>
                <w:rFonts w:hint="cs"/>
                <w:rtl/>
              </w:rPr>
              <w:t>بن</w:t>
            </w:r>
            <w:r w:rsidRPr="00F22839">
              <w:rPr>
                <w:rtl/>
              </w:rPr>
              <w:t xml:space="preserve"> </w:t>
            </w:r>
            <w:r w:rsidRPr="00F22839">
              <w:rPr>
                <w:rFonts w:hint="cs"/>
                <w:rtl/>
              </w:rPr>
              <w:t>عبدالوهاب</w:t>
            </w:r>
            <w:r w:rsidRPr="00F22839">
              <w:rPr>
                <w:rtl/>
              </w:rPr>
              <w:t xml:space="preserve"> </w:t>
            </w:r>
            <w:r w:rsidRPr="00F22839">
              <w:rPr>
                <w:rFonts w:hint="cs"/>
                <w:rtl/>
              </w:rPr>
              <w:t>الكيال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6BCE0C6D" w14:textId="77777777" w:rsidR="0078451E" w:rsidRPr="00F22839" w:rsidRDefault="0078451E" w:rsidP="00562010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استاذ مساعد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ABF9241" w14:textId="77777777" w:rsidR="0078451E" w:rsidRPr="00F22839" w:rsidRDefault="0078451E" w:rsidP="00562010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كلية الطبية التطبيقية</w:t>
            </w:r>
          </w:p>
        </w:tc>
        <w:tc>
          <w:tcPr>
            <w:tcW w:w="2377" w:type="dxa"/>
            <w:tcBorders>
              <w:bottom w:val="single" w:sz="4" w:space="0" w:color="auto"/>
              <w:right w:val="double" w:sz="4" w:space="0" w:color="auto"/>
            </w:tcBorders>
          </w:tcPr>
          <w:p w14:paraId="025AADBF" w14:textId="77777777" w:rsidR="0078451E" w:rsidRPr="00F22839" w:rsidRDefault="0078451E" w:rsidP="00562010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الفيروسات الطبية</w:t>
            </w:r>
          </w:p>
        </w:tc>
      </w:tr>
      <w:tr w:rsidR="0078451E" w:rsidRPr="00F22839" w14:paraId="6AA3565B" w14:textId="77777777" w:rsidTr="00562010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D7CB05" w14:textId="77777777" w:rsidR="0078451E" w:rsidRDefault="0078451E" w:rsidP="00562010">
            <w:pPr>
              <w:jc w:val="center"/>
            </w:pPr>
            <w:r>
              <w:rPr>
                <w:rFonts w:hint="cs"/>
                <w:rtl/>
              </w:rPr>
              <w:t>الرؤية</w:t>
            </w:r>
          </w:p>
          <w:p w14:paraId="4F947B1F" w14:textId="77777777" w:rsidR="0078451E" w:rsidRPr="00F22839" w:rsidRDefault="0078451E" w:rsidP="00562010">
            <w:pPr>
              <w:jc w:val="center"/>
              <w:rPr>
                <w:rtl/>
              </w:rPr>
            </w:pPr>
            <w:r>
              <w:t>Vision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55C7E628" w14:textId="77777777" w:rsidR="0078451E" w:rsidRDefault="006F5739" w:rsidP="00562010">
            <w:pPr>
              <w:jc w:val="center"/>
              <w:rPr>
                <w:rFonts w:cs="AL-Mohanad Bold"/>
                <w:sz w:val="20"/>
                <w:szCs w:val="20"/>
                <w:rtl/>
                <w:lang w:bidi="ar-AE"/>
              </w:rPr>
            </w:pPr>
            <w:r>
              <w:rPr>
                <w:rFonts w:cs="AL-Mohanad Bold" w:hint="cs"/>
                <w:sz w:val="20"/>
                <w:szCs w:val="20"/>
                <w:rtl/>
                <w:lang w:bidi="ar-AE"/>
              </w:rPr>
              <w:t>أ</w:t>
            </w:r>
            <w:r w:rsidR="00562010" w:rsidRPr="00ED5F74">
              <w:rPr>
                <w:rFonts w:cs="AL-Mohanad Bold"/>
                <w:sz w:val="20"/>
                <w:szCs w:val="20"/>
                <w:rtl/>
                <w:lang w:bidi="ar-AE"/>
              </w:rPr>
              <w:t xml:space="preserve">ن تكون </w:t>
            </w:r>
            <w:r w:rsidR="00562010">
              <w:rPr>
                <w:rFonts w:cs="AL-Mohanad Bold" w:hint="cs"/>
                <w:sz w:val="20"/>
                <w:szCs w:val="20"/>
                <w:rtl/>
                <w:lang w:bidi="ar-AE"/>
              </w:rPr>
              <w:t xml:space="preserve">جامعة تبوك منارة </w:t>
            </w:r>
            <w:r w:rsidR="00562010" w:rsidRPr="00ED5F74">
              <w:rPr>
                <w:rFonts w:cs="AL-Mohanad Bold"/>
                <w:sz w:val="20"/>
                <w:szCs w:val="20"/>
                <w:rtl/>
                <w:lang w:bidi="ar-AE"/>
              </w:rPr>
              <w:t>رائدة عالمياً</w:t>
            </w:r>
            <w:r w:rsidR="00562010">
              <w:rPr>
                <w:rFonts w:cs="AL-Mohanad Bold" w:hint="cs"/>
                <w:sz w:val="20"/>
                <w:szCs w:val="20"/>
                <w:rtl/>
                <w:lang w:bidi="ar-AE"/>
              </w:rPr>
              <w:t xml:space="preserve"> في تقديم الخدمات الإستشارية في مجال البحث والتطوير للعلاجات المناعية والفيروسية مما ينعكس إجاباً علي ثقافة </w:t>
            </w:r>
            <w:r w:rsidR="00562010" w:rsidRPr="00ED5F74">
              <w:rPr>
                <w:rFonts w:cs="AL-Mohanad Bold"/>
                <w:sz w:val="20"/>
                <w:szCs w:val="20"/>
                <w:rtl/>
                <w:lang w:bidi="ar-AE"/>
              </w:rPr>
              <w:t>الابتكار وتعز</w:t>
            </w:r>
            <w:r w:rsidR="00562010">
              <w:rPr>
                <w:rFonts w:cs="AL-Mohanad Bold" w:hint="cs"/>
                <w:sz w:val="20"/>
                <w:szCs w:val="20"/>
                <w:rtl/>
                <w:lang w:bidi="ar-AE"/>
              </w:rPr>
              <w:t>ي</w:t>
            </w:r>
            <w:r w:rsidR="00562010" w:rsidRPr="00ED5F74">
              <w:rPr>
                <w:rFonts w:cs="AL-Mohanad Bold"/>
                <w:sz w:val="20"/>
                <w:szCs w:val="20"/>
                <w:rtl/>
                <w:lang w:bidi="ar-AE"/>
              </w:rPr>
              <w:t xml:space="preserve">ز </w:t>
            </w:r>
            <w:r w:rsidR="00562010">
              <w:rPr>
                <w:rFonts w:cs="AL-Mohanad Bold" w:hint="cs"/>
                <w:sz w:val="20"/>
                <w:szCs w:val="20"/>
                <w:rtl/>
                <w:lang w:bidi="ar-AE"/>
              </w:rPr>
              <w:t xml:space="preserve">قيم </w:t>
            </w:r>
            <w:r w:rsidR="00562010" w:rsidRPr="00ED5F74">
              <w:rPr>
                <w:rFonts w:cs="AL-Mohanad Bold"/>
                <w:sz w:val="20"/>
                <w:szCs w:val="20"/>
                <w:rtl/>
                <w:lang w:bidi="ar-AE"/>
              </w:rPr>
              <w:t>مجتمع قائم على</w:t>
            </w:r>
            <w:r w:rsidR="00562010">
              <w:rPr>
                <w:rFonts w:cs="AL-Mohanad Bold" w:hint="cs"/>
                <w:sz w:val="20"/>
                <w:szCs w:val="20"/>
                <w:rtl/>
                <w:lang w:bidi="ar-AE"/>
              </w:rPr>
              <w:t xml:space="preserve"> الإقتصاد</w:t>
            </w:r>
            <w:r w:rsidR="00562010">
              <w:rPr>
                <w:rFonts w:cs="AL-Mohanad Bold"/>
                <w:sz w:val="20"/>
                <w:szCs w:val="20"/>
                <w:rtl/>
                <w:lang w:bidi="ar-AE"/>
              </w:rPr>
              <w:t xml:space="preserve"> المعرفي</w:t>
            </w:r>
            <w:r w:rsidR="00562010" w:rsidRPr="00ED5F74">
              <w:rPr>
                <w:rFonts w:cs="AL-Mohanad Bold"/>
                <w:sz w:val="20"/>
                <w:szCs w:val="20"/>
                <w:rtl/>
                <w:lang w:bidi="ar-AE"/>
              </w:rPr>
              <w:t xml:space="preserve"> في المملكة</w:t>
            </w:r>
            <w:r w:rsidR="00562010">
              <w:rPr>
                <w:rFonts w:cs="AL-Mohanad Bold" w:hint="cs"/>
                <w:sz w:val="20"/>
                <w:szCs w:val="20"/>
                <w:rtl/>
                <w:lang w:bidi="ar-AE"/>
              </w:rPr>
              <w:t xml:space="preserve"> تماشياً مع أهداف رؤية ٢٠٣٠</w:t>
            </w:r>
          </w:p>
          <w:p w14:paraId="0E443B4B" w14:textId="5F413433" w:rsidR="00F53CD7" w:rsidRPr="00F22839" w:rsidRDefault="0098039D" w:rsidP="0098039D">
            <w:pPr>
              <w:jc w:val="center"/>
              <w:rPr>
                <w:rtl/>
              </w:rPr>
            </w:pPr>
            <w:r>
              <w:t xml:space="preserve">To put the </w:t>
            </w:r>
            <w:r w:rsidR="00F53CD7" w:rsidRPr="00F53CD7">
              <w:t>University of Tabu</w:t>
            </w:r>
            <w:r>
              <w:t>k among the</w:t>
            </w:r>
            <w:r w:rsidR="00F53CD7" w:rsidRPr="00F53CD7">
              <w:t xml:space="preserve"> global </w:t>
            </w:r>
            <w:r w:rsidRPr="00F53CD7">
              <w:t>leade</w:t>
            </w:r>
            <w:r>
              <w:t>r</w:t>
            </w:r>
            <w:r w:rsidRPr="00F53CD7">
              <w:t>s</w:t>
            </w:r>
            <w:r w:rsidR="00F53CD7" w:rsidRPr="00F53CD7">
              <w:t xml:space="preserve"> in providing </w:t>
            </w:r>
            <w:r>
              <w:t xml:space="preserve">R&amp;D </w:t>
            </w:r>
            <w:r w:rsidR="00F53CD7" w:rsidRPr="00F53CD7">
              <w:t xml:space="preserve">consultancy services in the field </w:t>
            </w:r>
            <w:r>
              <w:t>of immunotherapy</w:t>
            </w:r>
            <w:r w:rsidR="00F53CD7" w:rsidRPr="00F53CD7">
              <w:t xml:space="preserve"> and </w:t>
            </w:r>
            <w:r>
              <w:t>oncolytic virotherapy</w:t>
            </w:r>
            <w:r w:rsidR="00F53CD7" w:rsidRPr="00F53CD7">
              <w:t xml:space="preserve">, </w:t>
            </w:r>
            <w:r>
              <w:t>to promote</w:t>
            </w:r>
            <w:r w:rsidR="00F53CD7" w:rsidRPr="00F53CD7">
              <w:t xml:space="preserve"> the values ​​of a knowledge-based </w:t>
            </w:r>
            <w:r>
              <w:t>economy in the Kingdom in-</w:t>
            </w:r>
            <w:r w:rsidR="00F53CD7" w:rsidRPr="00F53CD7">
              <w:t xml:space="preserve">line with the objectives of </w:t>
            </w:r>
            <w:r>
              <w:t xml:space="preserve">2030 </w:t>
            </w:r>
            <w:r w:rsidR="00F53CD7" w:rsidRPr="00F53CD7">
              <w:t xml:space="preserve">Vision </w:t>
            </w:r>
          </w:p>
        </w:tc>
      </w:tr>
      <w:tr w:rsidR="0078451E" w:rsidRPr="00F22839" w14:paraId="5A4FBA9B" w14:textId="77777777" w:rsidTr="00562010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34BE0C" w14:textId="77777777" w:rsidR="0078451E" w:rsidRDefault="0078451E" w:rsidP="00562010">
            <w:pPr>
              <w:jc w:val="center"/>
            </w:pPr>
            <w:r>
              <w:rPr>
                <w:rFonts w:hint="cs"/>
                <w:rtl/>
              </w:rPr>
              <w:t>الرسالة</w:t>
            </w:r>
          </w:p>
          <w:p w14:paraId="5D6B95CB" w14:textId="77777777" w:rsidR="0078451E" w:rsidRPr="00F22839" w:rsidRDefault="0078451E" w:rsidP="00562010">
            <w:pPr>
              <w:jc w:val="center"/>
              <w:rPr>
                <w:rtl/>
              </w:rPr>
            </w:pPr>
            <w:r>
              <w:t>Message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57950821" w14:textId="77777777" w:rsidR="0078451E" w:rsidRDefault="00562010" w:rsidP="00562010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24A05">
              <w:rPr>
                <w:rFonts w:cs="AL-Mohanad Bold" w:hint="cs"/>
                <w:sz w:val="20"/>
                <w:szCs w:val="20"/>
                <w:rtl/>
              </w:rPr>
              <w:t xml:space="preserve">تقديم الإستشارات </w:t>
            </w:r>
            <w:r>
              <w:rPr>
                <w:rFonts w:cs="AL-Mohanad Bold" w:hint="cs"/>
                <w:sz w:val="20"/>
                <w:szCs w:val="20"/>
                <w:rtl/>
              </w:rPr>
              <w:t xml:space="preserve">والبحث والتطوير </w:t>
            </w:r>
            <w:r w:rsidRPr="00224A05">
              <w:rPr>
                <w:rFonts w:cs="AL-Mohanad Bold" w:hint="cs"/>
                <w:sz w:val="20"/>
                <w:szCs w:val="20"/>
                <w:rtl/>
              </w:rPr>
              <w:t xml:space="preserve">والدعم الفني لمراكز الأبحاث وشركات الأدوية والمستشفيات في كل ما يتعلق بإجراء الأبحاث المبدئية </w:t>
            </w:r>
            <w:r>
              <w:rPr>
                <w:rFonts w:cs="AL-Mohanad Bold" w:hint="cs"/>
                <w:sz w:val="20"/>
                <w:szCs w:val="20"/>
                <w:rtl/>
              </w:rPr>
              <w:t xml:space="preserve">والحيوانية </w:t>
            </w:r>
            <w:r w:rsidRPr="00224A05">
              <w:rPr>
                <w:rFonts w:cs="AL-Mohanad Bold" w:hint="cs"/>
                <w:sz w:val="20"/>
                <w:szCs w:val="20"/>
                <w:rtl/>
              </w:rPr>
              <w:t xml:space="preserve">والسريرية لتطوير </w:t>
            </w:r>
            <w:r>
              <w:rPr>
                <w:rFonts w:cs="AL-Mohanad Bold" w:hint="cs"/>
                <w:sz w:val="20"/>
                <w:szCs w:val="20"/>
                <w:rtl/>
              </w:rPr>
              <w:t xml:space="preserve">وصناعة </w:t>
            </w:r>
            <w:r w:rsidRPr="00224A05">
              <w:rPr>
                <w:rFonts w:cs="AL-Mohanad Bold" w:hint="cs"/>
                <w:sz w:val="20"/>
                <w:szCs w:val="20"/>
                <w:rtl/>
              </w:rPr>
              <w:t>وتسويق العلاجات المناعية والفيروسية للأورام.</w:t>
            </w:r>
          </w:p>
          <w:p w14:paraId="035E78DF" w14:textId="750FB89E" w:rsidR="0098039D" w:rsidRPr="00F22839" w:rsidRDefault="0098039D" w:rsidP="0098039D">
            <w:pPr>
              <w:jc w:val="center"/>
              <w:rPr>
                <w:rtl/>
              </w:rPr>
            </w:pPr>
            <w:r w:rsidRPr="0098039D">
              <w:t xml:space="preserve">Providing </w:t>
            </w:r>
            <w:r>
              <w:t>R&amp;D consultations</w:t>
            </w:r>
            <w:r w:rsidRPr="0098039D">
              <w:t xml:space="preserve"> and technical support to research centers, pharmaceutical companies and hospitals in all matters related to conducting </w:t>
            </w:r>
            <w:r>
              <w:t>basic</w:t>
            </w:r>
            <w:r w:rsidRPr="0098039D">
              <w:t>, animal and clinical</w:t>
            </w:r>
            <w:r>
              <w:t xml:space="preserve"> translational</w:t>
            </w:r>
            <w:r w:rsidRPr="0098039D">
              <w:t xml:space="preserve"> research to develop, manu</w:t>
            </w:r>
            <w:r>
              <w:t xml:space="preserve">facture and market cancer </w:t>
            </w:r>
            <w:proofErr w:type="spellStart"/>
            <w:r>
              <w:t>immunotherapeutics</w:t>
            </w:r>
            <w:proofErr w:type="spellEnd"/>
            <w:r w:rsidRPr="0098039D">
              <w:t xml:space="preserve"> and</w:t>
            </w:r>
            <w:r>
              <w:t xml:space="preserve"> oncolytic viruses</w:t>
            </w:r>
            <w:r w:rsidRPr="0098039D">
              <w:t>.</w:t>
            </w:r>
          </w:p>
        </w:tc>
      </w:tr>
      <w:tr w:rsidR="0078451E" w:rsidRPr="00F22839" w14:paraId="2082DB0C" w14:textId="77777777" w:rsidTr="00562010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B6C3F8" w14:textId="77777777" w:rsidR="0078451E" w:rsidRDefault="0078451E" w:rsidP="00562010">
            <w:pPr>
              <w:jc w:val="center"/>
            </w:pPr>
            <w:r>
              <w:rPr>
                <w:rFonts w:hint="cs"/>
                <w:rtl/>
              </w:rPr>
              <w:t>الاهداف</w:t>
            </w:r>
          </w:p>
          <w:p w14:paraId="6188DE01" w14:textId="77777777" w:rsidR="0078451E" w:rsidRPr="00F22839" w:rsidRDefault="0078451E" w:rsidP="00562010">
            <w:pPr>
              <w:jc w:val="center"/>
              <w:rPr>
                <w:rtl/>
              </w:rPr>
            </w:pPr>
            <w:r>
              <w:t>Aims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CE3D40A" w14:textId="77777777" w:rsidR="0078451E" w:rsidRPr="00562010" w:rsidRDefault="00562010" w:rsidP="0056201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562010">
              <w:rPr>
                <w:rFonts w:cs="AL-Mohanad Bold" w:hint="cs"/>
                <w:sz w:val="20"/>
                <w:szCs w:val="20"/>
                <w:rtl/>
              </w:rPr>
              <w:t>نقل وتوطين تقنية العلاجات المناعية والفيروسية للأورام</w:t>
            </w:r>
          </w:p>
          <w:p w14:paraId="79A231C1" w14:textId="77777777" w:rsidR="00562010" w:rsidRPr="0098039D" w:rsidRDefault="00562010" w:rsidP="0056201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224A05">
              <w:rPr>
                <w:rFonts w:cs="AL-Mohanad Bold" w:hint="cs"/>
                <w:sz w:val="20"/>
                <w:szCs w:val="20"/>
                <w:rtl/>
              </w:rPr>
              <w:t xml:space="preserve">تأهيل </w:t>
            </w:r>
            <w:r>
              <w:rPr>
                <w:rFonts w:cs="AL-Mohanad Bold" w:hint="cs"/>
                <w:sz w:val="20"/>
                <w:szCs w:val="20"/>
                <w:rtl/>
              </w:rPr>
              <w:t>الكوادر السعودية</w:t>
            </w:r>
            <w:r w:rsidRPr="00224A05">
              <w:rPr>
                <w:rFonts w:cs="AL-Mohanad Bold" w:hint="cs"/>
                <w:sz w:val="20"/>
                <w:szCs w:val="20"/>
                <w:rtl/>
              </w:rPr>
              <w:t xml:space="preserve"> بالمهارات اللازمة لسهولة الحصول على </w:t>
            </w:r>
            <w:r>
              <w:rPr>
                <w:rFonts w:cs="AL-Mohanad Bold" w:hint="cs"/>
                <w:sz w:val="20"/>
                <w:szCs w:val="20"/>
                <w:rtl/>
              </w:rPr>
              <w:t>الوظائف ودمجهم بسوق العمل في مجال صناعة الأدوية الحيوية.</w:t>
            </w:r>
          </w:p>
          <w:p w14:paraId="5C416E8D" w14:textId="579A5572" w:rsidR="0029320C" w:rsidRDefault="0098039D" w:rsidP="0029320C">
            <w:pPr>
              <w:pStyle w:val="ListParagraph"/>
              <w:ind w:left="0"/>
              <w:jc w:val="right"/>
            </w:pPr>
            <w:r>
              <w:lastRenderedPageBreak/>
              <w:t>1. Tech-t</w:t>
            </w:r>
            <w:r w:rsidRPr="0098039D">
              <w:t xml:space="preserve">ransfer and localization of </w:t>
            </w:r>
            <w:r w:rsidR="0029320C">
              <w:t xml:space="preserve">cancer </w:t>
            </w:r>
            <w:proofErr w:type="spellStart"/>
            <w:r w:rsidR="0029320C">
              <w:t>immunotherapeutics</w:t>
            </w:r>
            <w:proofErr w:type="spellEnd"/>
            <w:r w:rsidR="0029320C" w:rsidRPr="0098039D">
              <w:t xml:space="preserve"> and</w:t>
            </w:r>
            <w:r w:rsidR="0029320C">
              <w:t xml:space="preserve"> oncolytic viruses.</w:t>
            </w:r>
          </w:p>
          <w:p w14:paraId="5AB9AF31" w14:textId="4E738FF3" w:rsidR="0098039D" w:rsidRPr="00F22839" w:rsidRDefault="0098039D" w:rsidP="0029320C">
            <w:pPr>
              <w:pStyle w:val="ListParagraph"/>
              <w:ind w:left="0"/>
              <w:jc w:val="right"/>
              <w:rPr>
                <w:rtl/>
              </w:rPr>
            </w:pPr>
            <w:r w:rsidRPr="0098039D">
              <w:t xml:space="preserve">2. </w:t>
            </w:r>
            <w:r w:rsidR="0029320C">
              <w:t xml:space="preserve">Providing </w:t>
            </w:r>
            <w:r w:rsidR="0029320C" w:rsidRPr="0098039D">
              <w:t xml:space="preserve">the necessary skills </w:t>
            </w:r>
            <w:r w:rsidR="0029320C">
              <w:t xml:space="preserve">of manpower for easy integration into </w:t>
            </w:r>
            <w:r w:rsidRPr="0098039D">
              <w:t>the labor market in the field of biopharmaceutical industry.</w:t>
            </w:r>
          </w:p>
        </w:tc>
      </w:tr>
      <w:tr w:rsidR="0078451E" w:rsidRPr="00F22839" w14:paraId="4C905FEB" w14:textId="77777777" w:rsidTr="00562010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A1295" w14:textId="553B0A63" w:rsidR="0078451E" w:rsidRDefault="0078451E" w:rsidP="00562010">
            <w:pPr>
              <w:jc w:val="center"/>
            </w:pPr>
            <w:r>
              <w:rPr>
                <w:rFonts w:hint="cs"/>
                <w:rtl/>
              </w:rPr>
              <w:lastRenderedPageBreak/>
              <w:t>مجال العمل</w:t>
            </w:r>
          </w:p>
          <w:p w14:paraId="1E47B2F3" w14:textId="77777777" w:rsidR="0078451E" w:rsidRDefault="0078451E" w:rsidP="00562010">
            <w:pPr>
              <w:jc w:val="center"/>
              <w:rPr>
                <w:rtl/>
              </w:rPr>
            </w:pPr>
            <w:r>
              <w:t>Work field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7B2B98F" w14:textId="77777777" w:rsidR="00CC1BEF" w:rsidRDefault="00CC1BEF" w:rsidP="00CC1BE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إجراء دراسات جدوى للمشاريع الناشئة</w:t>
            </w:r>
          </w:p>
          <w:p w14:paraId="4E857F8F" w14:textId="77777777" w:rsidR="00CC1BEF" w:rsidRDefault="00CC1BEF" w:rsidP="00CC1BE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وضع آليات وخطط لتطوير الآدوية ونقلها من المختبرات إلى مرحلة التصنيع.</w:t>
            </w:r>
          </w:p>
          <w:p w14:paraId="727B7E44" w14:textId="77777777" w:rsidR="00CC1BEF" w:rsidRDefault="00CC1BEF" w:rsidP="00CC1BE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صياغة المقترحات البحثية وآليات التطبيق للحصول على دعم من الجهات المختصة</w:t>
            </w:r>
          </w:p>
          <w:p w14:paraId="3258C445" w14:textId="77777777" w:rsidR="0078451E" w:rsidRPr="0029320C" w:rsidRDefault="00CC1BEF" w:rsidP="00CC1BE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إعداد برامج ل</w:t>
            </w:r>
            <w:r w:rsidRPr="00224A05">
              <w:rPr>
                <w:rFonts w:cs="AL-Mohanad Bold" w:hint="cs"/>
                <w:sz w:val="20"/>
                <w:szCs w:val="20"/>
                <w:rtl/>
              </w:rPr>
              <w:t xml:space="preserve">تأهيل </w:t>
            </w:r>
            <w:r>
              <w:rPr>
                <w:rFonts w:cs="AL-Mohanad Bold" w:hint="cs"/>
                <w:sz w:val="20"/>
                <w:szCs w:val="20"/>
                <w:rtl/>
              </w:rPr>
              <w:t>الكوادر السعودية</w:t>
            </w:r>
            <w:r w:rsidRPr="00224A05">
              <w:rPr>
                <w:rFonts w:cs="AL-Mohanad Bold" w:hint="cs"/>
                <w:sz w:val="20"/>
                <w:szCs w:val="20"/>
                <w:rtl/>
              </w:rPr>
              <w:t xml:space="preserve"> بالمهارات اللازمة لسهولة الحصول على </w:t>
            </w:r>
            <w:r>
              <w:rPr>
                <w:rFonts w:cs="AL-Mohanad Bold" w:hint="cs"/>
                <w:sz w:val="20"/>
                <w:szCs w:val="20"/>
                <w:rtl/>
              </w:rPr>
              <w:t>الوظائف ودمجهم بسوق العمل في مجال صناعة الأدوية الحيوية.</w:t>
            </w:r>
          </w:p>
          <w:p w14:paraId="4EF85727" w14:textId="77777777" w:rsidR="0029320C" w:rsidRDefault="0029320C" w:rsidP="0029320C">
            <w:pPr>
              <w:pStyle w:val="ListParagraph"/>
              <w:ind w:left="0"/>
              <w:jc w:val="right"/>
            </w:pPr>
            <w:r w:rsidRPr="0029320C">
              <w:t xml:space="preserve">1. Conducting feasibility studies for </w:t>
            </w:r>
            <w:r>
              <w:t>start-up</w:t>
            </w:r>
            <w:r w:rsidRPr="0029320C">
              <w:t xml:space="preserve"> projects</w:t>
            </w:r>
          </w:p>
          <w:p w14:paraId="024E2A6F" w14:textId="77777777" w:rsidR="0029320C" w:rsidRDefault="0029320C" w:rsidP="0029320C">
            <w:pPr>
              <w:pStyle w:val="ListParagraph"/>
              <w:ind w:left="0"/>
              <w:jc w:val="right"/>
            </w:pPr>
            <w:r w:rsidRPr="0029320C">
              <w:t>2. Develop</w:t>
            </w:r>
            <w:r>
              <w:t xml:space="preserve"> and</w:t>
            </w:r>
            <w:r w:rsidRPr="0029320C">
              <w:t xml:space="preserve"> </w:t>
            </w:r>
            <w:r>
              <w:t xml:space="preserve">implement R&amp;D </w:t>
            </w:r>
            <w:r w:rsidRPr="0029320C">
              <w:t xml:space="preserve">plans </w:t>
            </w:r>
            <w:r>
              <w:t xml:space="preserve">to bring medications </w:t>
            </w:r>
            <w:r w:rsidRPr="0029320C">
              <w:t>from bench to bedside</w:t>
            </w:r>
            <w:r>
              <w:t>.</w:t>
            </w:r>
          </w:p>
          <w:p w14:paraId="005FD895" w14:textId="1640CF82" w:rsidR="0029320C" w:rsidRDefault="0029320C" w:rsidP="0029320C">
            <w:pPr>
              <w:pStyle w:val="ListParagraph"/>
              <w:ind w:left="0"/>
              <w:jc w:val="right"/>
            </w:pPr>
            <w:r w:rsidRPr="0029320C">
              <w:t xml:space="preserve">3. </w:t>
            </w:r>
            <w:r>
              <w:t>Develop</w:t>
            </w:r>
            <w:r w:rsidRPr="0029320C">
              <w:t xml:space="preserve"> research proposals and </w:t>
            </w:r>
            <w:r>
              <w:t xml:space="preserve">grant </w:t>
            </w:r>
            <w:r w:rsidRPr="0029320C">
              <w:t>application</w:t>
            </w:r>
            <w:r>
              <w:t>s</w:t>
            </w:r>
            <w:r w:rsidRPr="0029320C">
              <w:t xml:space="preserve"> to obtain </w:t>
            </w:r>
            <w:r>
              <w:t>funds from funding agencies.</w:t>
            </w:r>
            <w:r w:rsidRPr="0029320C">
              <w:t xml:space="preserve"> </w:t>
            </w:r>
          </w:p>
          <w:p w14:paraId="3FA8DF6E" w14:textId="4DC30A6B" w:rsidR="0029320C" w:rsidRPr="00F22839" w:rsidRDefault="0029320C" w:rsidP="0029320C">
            <w:pPr>
              <w:pStyle w:val="ListParagraph"/>
              <w:ind w:left="0"/>
              <w:jc w:val="right"/>
              <w:rPr>
                <w:rtl/>
              </w:rPr>
            </w:pPr>
            <w:r w:rsidRPr="0029320C">
              <w:t>4. Prepare</w:t>
            </w:r>
            <w:r>
              <w:t xml:space="preserve"> biotech programs to</w:t>
            </w:r>
            <w:r w:rsidRPr="0029320C">
              <w:t xml:space="preserve"> </w:t>
            </w:r>
            <w:r>
              <w:t xml:space="preserve">provide </w:t>
            </w:r>
            <w:r w:rsidRPr="0098039D">
              <w:t xml:space="preserve">the necessary skills </w:t>
            </w:r>
            <w:r>
              <w:t xml:space="preserve">of manpower for easy integration into </w:t>
            </w:r>
            <w:r w:rsidRPr="0098039D">
              <w:t>the labor market in the field of biopharmaceutical industry.</w:t>
            </w:r>
          </w:p>
        </w:tc>
      </w:tr>
      <w:tr w:rsidR="0078451E" w:rsidRPr="00F22839" w14:paraId="63B7351D" w14:textId="77777777" w:rsidTr="00562010"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CDEA72" w14:textId="3A70590E" w:rsidR="0078451E" w:rsidRPr="00F22839" w:rsidRDefault="000069D3" w:rsidP="00562010">
            <w:pPr>
              <w:jc w:val="center"/>
              <w:rPr>
                <w:rtl/>
              </w:rPr>
            </w:pPr>
            <w:r>
              <w:t xml:space="preserve">Contact </w:t>
            </w:r>
            <w:r w:rsidR="005F6EC4">
              <w:t>Info.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02F833AA" w14:textId="77777777" w:rsidR="0078451E" w:rsidRDefault="005F6EC4" w:rsidP="005F6EC4">
            <w:pPr>
              <w:bidi w:val="0"/>
              <w:jc w:val="center"/>
            </w:pPr>
            <w:r>
              <w:t xml:space="preserve">Mobile: </w:t>
            </w:r>
            <w:r w:rsidR="0078451E" w:rsidRPr="00F22839">
              <w:rPr>
                <w:rFonts w:hint="cs"/>
                <w:rtl/>
              </w:rPr>
              <w:t>0501687787</w:t>
            </w:r>
          </w:p>
          <w:p w14:paraId="20A7E2DE" w14:textId="05863BD4" w:rsidR="005F6EC4" w:rsidRPr="00F22839" w:rsidRDefault="005F6EC4" w:rsidP="005F6EC4">
            <w:pPr>
              <w:bidi w:val="0"/>
              <w:jc w:val="center"/>
            </w:pPr>
            <w:r>
              <w:t xml:space="preserve">Email: </w:t>
            </w:r>
            <w:r w:rsidRPr="00F22839">
              <w:t>aalkayyal@ut.edu.sa</w:t>
            </w:r>
          </w:p>
        </w:tc>
      </w:tr>
    </w:tbl>
    <w:p w14:paraId="237349F1" w14:textId="77777777" w:rsidR="00AC3A8E" w:rsidRDefault="00AC3A8E">
      <w:bookmarkStart w:id="0" w:name="_GoBack"/>
      <w:bookmarkEnd w:id="0"/>
    </w:p>
    <w:sectPr w:rsidR="00AC3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63944"/>
    <w:multiLevelType w:val="hybridMultilevel"/>
    <w:tmpl w:val="6A7C9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3D6100"/>
    <w:multiLevelType w:val="hybridMultilevel"/>
    <w:tmpl w:val="6A7C9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1E"/>
    <w:rsid w:val="000069D3"/>
    <w:rsid w:val="0029320C"/>
    <w:rsid w:val="00562010"/>
    <w:rsid w:val="005F6EC4"/>
    <w:rsid w:val="006F5739"/>
    <w:rsid w:val="0078451E"/>
    <w:rsid w:val="0098039D"/>
    <w:rsid w:val="00AC3A8E"/>
    <w:rsid w:val="00CC1BEF"/>
    <w:rsid w:val="00D67B59"/>
    <w:rsid w:val="00F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6E924"/>
  <w15:docId w15:val="{1F1FAFD4-7D3A-448F-95C4-A7FC9E25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51E"/>
    <w:pPr>
      <w:bidi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0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10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Almukhlifi</dc:creator>
  <cp:keywords/>
  <dc:description/>
  <cp:lastModifiedBy>H. Almukhlifi</cp:lastModifiedBy>
  <cp:revision>3</cp:revision>
  <dcterms:created xsi:type="dcterms:W3CDTF">2019-09-11T10:48:00Z</dcterms:created>
  <dcterms:modified xsi:type="dcterms:W3CDTF">2019-09-15T10:39:00Z</dcterms:modified>
</cp:coreProperties>
</file>